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F7" w:rsidRDefault="007826F7"/>
    <w:p w:rsidR="003B4DFA" w:rsidRDefault="003B4DFA" w:rsidP="003B4DFA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V15: </w:t>
      </w:r>
      <w:r w:rsidRPr="003B4DFA">
        <w:rPr>
          <w:rFonts w:ascii="Arial" w:eastAsia="Times New Roman" w:hAnsi="Arial" w:cs="Arial"/>
          <w:sz w:val="20"/>
          <w:szCs w:val="20"/>
        </w:rPr>
        <w:t>Stock under temporary trading suspen</w:t>
      </w:r>
      <w:r>
        <w:rPr>
          <w:rFonts w:ascii="Arial" w:eastAsia="Times New Roman" w:hAnsi="Arial" w:cs="Arial"/>
          <w:sz w:val="20"/>
          <w:szCs w:val="20"/>
        </w:rPr>
        <w:t>sion</w:t>
      </w:r>
    </w:p>
    <w:p w:rsidR="003B4DFA" w:rsidRDefault="003B4DFA" w:rsidP="003B4DFA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3B4DFA" w:rsidRPr="003B4DFA" w:rsidRDefault="003B4DFA" w:rsidP="003B4DFA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DFA">
        <w:rPr>
          <w:rFonts w:ascii="Arial" w:eastAsia="Times New Roman" w:hAnsi="Arial" w:cs="Arial"/>
          <w:sz w:val="20"/>
          <w:szCs w:val="20"/>
        </w:rPr>
        <w:t xml:space="preserve">Pursuant to Listing Regulations at the HNX attached to Decision No.18/QD-SGDHN dated 17/01/2014 by Hanoi Stock Exchange, HNX announces the temporary suspension of </w:t>
      </w:r>
      <w:r w:rsidR="00D03C78">
        <w:rPr>
          <w:rFonts w:ascii="Arial" w:eastAsia="Times New Roman" w:hAnsi="Arial" w:cs="Arial"/>
          <w:sz w:val="20"/>
          <w:szCs w:val="20"/>
        </w:rPr>
        <w:t>V15</w:t>
      </w:r>
      <w:r w:rsidRPr="003B4DFA">
        <w:rPr>
          <w:rFonts w:ascii="Arial" w:eastAsia="Times New Roman" w:hAnsi="Arial" w:cs="Arial"/>
          <w:sz w:val="20"/>
          <w:szCs w:val="20"/>
        </w:rPr>
        <w:t xml:space="preserve"> stock as follows:</w:t>
      </w:r>
    </w:p>
    <w:p w:rsidR="003B4DFA" w:rsidRPr="003B4DFA" w:rsidRDefault="003B4DFA" w:rsidP="003B4DFA">
      <w:pPr>
        <w:tabs>
          <w:tab w:val="left" w:pos="0"/>
          <w:tab w:val="num" w:pos="720"/>
          <w:tab w:val="num" w:pos="765"/>
        </w:tabs>
        <w:spacing w:after="0" w:line="360" w:lineRule="auto"/>
        <w:ind w:left="765" w:hanging="40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B4DFA">
        <w:rPr>
          <w:rFonts w:ascii="Arial" w:eastAsia=";;;Times New Roman&amp;quot" w:hAnsi="Arial" w:cs="Arial"/>
          <w:sz w:val="20"/>
          <w:szCs w:val="20"/>
        </w:rPr>
        <w:t>-</w:t>
      </w:r>
      <w:r w:rsidRPr="003B4DFA">
        <w:rPr>
          <w:rFonts w:ascii="Arial" w:eastAsia=";;;Times New Roman&amp;quot" w:hAnsi="Arial" w:cs="Arial"/>
          <w:sz w:val="14"/>
          <w:szCs w:val="14"/>
        </w:rPr>
        <w:t>  </w:t>
      </w:r>
      <w:r w:rsidRPr="003B4DFA">
        <w:rPr>
          <w:rFonts w:ascii="Arial" w:eastAsia="Times New Roman" w:hAnsi="Arial" w:cs="Arial"/>
          <w:sz w:val="20"/>
          <w:szCs w:val="20"/>
        </w:rPr>
        <w:t xml:space="preserve">Issuer:  </w:t>
      </w:r>
      <w:proofErr w:type="spellStart"/>
      <w:r>
        <w:rPr>
          <w:rFonts w:ascii="Arial" w:eastAsia="Times New Roman" w:hAnsi="Arial" w:cs="Arial"/>
          <w:sz w:val="20"/>
          <w:szCs w:val="20"/>
        </w:rPr>
        <w:t>Vinaconex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15 JSC</w:t>
      </w:r>
    </w:p>
    <w:p w:rsidR="003B4DFA" w:rsidRPr="003B4DFA" w:rsidRDefault="003B4DFA" w:rsidP="003B4DFA">
      <w:pPr>
        <w:tabs>
          <w:tab w:val="left" w:pos="0"/>
          <w:tab w:val="num" w:pos="720"/>
          <w:tab w:val="num" w:pos="765"/>
        </w:tabs>
        <w:spacing w:after="0" w:line="360" w:lineRule="auto"/>
        <w:ind w:left="765" w:hanging="40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B4DFA">
        <w:rPr>
          <w:rFonts w:ascii="Arial" w:eastAsia=";;;Times New Roman&amp;quot" w:hAnsi="Arial" w:cs="Arial"/>
          <w:sz w:val="20"/>
          <w:szCs w:val="20"/>
        </w:rPr>
        <w:t>-</w:t>
      </w:r>
      <w:r w:rsidRPr="003B4DFA">
        <w:rPr>
          <w:rFonts w:ascii="Arial" w:eastAsia=";;;Times New Roman&amp;quot" w:hAnsi="Arial" w:cs="Arial"/>
          <w:sz w:val="14"/>
          <w:szCs w:val="14"/>
        </w:rPr>
        <w:t> </w:t>
      </w:r>
      <w:r w:rsidR="00D03C78">
        <w:rPr>
          <w:rFonts w:ascii="Arial" w:eastAsia=";;;Times New Roman&amp;quot" w:hAnsi="Arial" w:cs="Arial"/>
          <w:sz w:val="14"/>
          <w:szCs w:val="14"/>
        </w:rPr>
        <w:t xml:space="preserve"> </w:t>
      </w:r>
      <w:r w:rsidRPr="003B4DFA">
        <w:rPr>
          <w:rFonts w:ascii="Arial" w:eastAsia="Times New Roman" w:hAnsi="Arial" w:cs="Arial"/>
          <w:sz w:val="20"/>
          <w:szCs w:val="20"/>
        </w:rPr>
        <w:t xml:space="preserve">Stock code: </w:t>
      </w:r>
      <w:r>
        <w:rPr>
          <w:rFonts w:ascii="Arial" w:eastAsia="Times New Roman" w:hAnsi="Arial" w:cs="Arial"/>
          <w:sz w:val="20"/>
          <w:szCs w:val="20"/>
        </w:rPr>
        <w:t>V15</w:t>
      </w:r>
    </w:p>
    <w:p w:rsidR="00D03C78" w:rsidRDefault="003B4DFA" w:rsidP="00D03C78">
      <w:pPr>
        <w:tabs>
          <w:tab w:val="left" w:pos="0"/>
          <w:tab w:val="num" w:pos="765"/>
        </w:tabs>
        <w:spacing w:after="0" w:line="360" w:lineRule="auto"/>
        <w:ind w:left="765" w:hanging="40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B4DFA">
        <w:rPr>
          <w:rFonts w:ascii="Arial" w:eastAsia=";;;Times New Roman&amp;quot" w:hAnsi="Arial" w:cs="Arial"/>
          <w:sz w:val="20"/>
          <w:szCs w:val="20"/>
        </w:rPr>
        <w:t>-</w:t>
      </w:r>
      <w:r w:rsidR="00D03C78">
        <w:rPr>
          <w:rFonts w:ascii="Arial" w:eastAsia=";;;Times New Roman&amp;quot" w:hAnsi="Arial" w:cs="Arial"/>
          <w:sz w:val="20"/>
          <w:szCs w:val="20"/>
        </w:rPr>
        <w:t xml:space="preserve"> </w:t>
      </w:r>
      <w:r w:rsidRPr="003B4DFA">
        <w:rPr>
          <w:rFonts w:ascii="Arial" w:eastAsia="Times New Roman" w:hAnsi="Arial" w:cs="Arial"/>
          <w:sz w:val="20"/>
          <w:szCs w:val="20"/>
        </w:rPr>
        <w:t>Effective date: 1</w:t>
      </w:r>
      <w:r w:rsidR="00D03C78">
        <w:rPr>
          <w:rFonts w:ascii="Arial" w:eastAsia="Times New Roman" w:hAnsi="Arial" w:cs="Arial"/>
          <w:sz w:val="20"/>
          <w:szCs w:val="20"/>
        </w:rPr>
        <w:t>1</w:t>
      </w:r>
      <w:r w:rsidRPr="003B4DFA">
        <w:rPr>
          <w:rFonts w:ascii="Arial" w:eastAsia="Times New Roman" w:hAnsi="Arial" w:cs="Arial"/>
          <w:sz w:val="20"/>
          <w:szCs w:val="20"/>
        </w:rPr>
        <w:t>/0</w:t>
      </w:r>
      <w:r w:rsidR="00D03C78">
        <w:rPr>
          <w:rFonts w:ascii="Arial" w:eastAsia="Times New Roman" w:hAnsi="Arial" w:cs="Arial"/>
          <w:sz w:val="20"/>
          <w:szCs w:val="20"/>
        </w:rPr>
        <w:t>5</w:t>
      </w:r>
      <w:r w:rsidRPr="003B4DFA">
        <w:rPr>
          <w:rFonts w:ascii="Arial" w:eastAsia="Times New Roman" w:hAnsi="Arial" w:cs="Arial"/>
          <w:sz w:val="20"/>
          <w:szCs w:val="20"/>
        </w:rPr>
        <w:t>/2015</w:t>
      </w:r>
    </w:p>
    <w:p w:rsidR="00D03C78" w:rsidRDefault="00D03C78" w:rsidP="00D03C7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4DFA" w:rsidRPr="003B4DFA">
        <w:rPr>
          <w:rFonts w:ascii="Arial" w:eastAsia="Times New Roman" w:hAnsi="Arial" w:cs="Arial"/>
          <w:sz w:val="20"/>
          <w:szCs w:val="20"/>
        </w:rPr>
        <w:t xml:space="preserve">Reason: The Company has not remedied the cause for which stock has been put under supervision. SQC stock is suspended from trading in accordance with the provisions of </w:t>
      </w:r>
      <w:proofErr w:type="gramStart"/>
      <w:r w:rsidR="003B4DFA" w:rsidRPr="003B4DFA">
        <w:rPr>
          <w:rFonts w:ascii="Arial" w:eastAsia="Times New Roman" w:hAnsi="Arial" w:cs="Arial"/>
          <w:sz w:val="20"/>
          <w:szCs w:val="20"/>
        </w:rPr>
        <w:t>Point  3</w:t>
      </w:r>
      <w:proofErr w:type="gramEnd"/>
      <w:r w:rsidR="003B4DFA" w:rsidRPr="003B4DFA">
        <w:rPr>
          <w:rFonts w:ascii="Arial" w:eastAsia="Times New Roman" w:hAnsi="Arial" w:cs="Arial"/>
          <w:sz w:val="20"/>
          <w:szCs w:val="20"/>
        </w:rPr>
        <w:t xml:space="preserve">  Article 14 of the Listing Regulations.</w:t>
      </w:r>
    </w:p>
    <w:p w:rsidR="003B4DFA" w:rsidRPr="003B4DFA" w:rsidRDefault="003B4DFA" w:rsidP="00D03C78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B4DFA">
        <w:rPr>
          <w:rFonts w:ascii="Arial" w:eastAsia="Times New Roman" w:hAnsi="Arial" w:cs="Arial"/>
          <w:sz w:val="20"/>
          <w:szCs w:val="20"/>
        </w:rPr>
        <w:t xml:space="preserve">Hanoi Stock Exchange will notify when SQC stock is allowed to be traded again after the </w:t>
      </w:r>
      <w:proofErr w:type="spellStart"/>
      <w:r w:rsidR="00D03C78">
        <w:rPr>
          <w:rFonts w:ascii="Arial" w:eastAsia="Times New Roman" w:hAnsi="Arial" w:cs="Arial"/>
          <w:sz w:val="20"/>
          <w:szCs w:val="20"/>
        </w:rPr>
        <w:t>Vinaconex</w:t>
      </w:r>
      <w:proofErr w:type="spellEnd"/>
      <w:r w:rsidR="00D03C78">
        <w:rPr>
          <w:rFonts w:ascii="Arial" w:eastAsia="Times New Roman" w:hAnsi="Arial" w:cs="Arial"/>
          <w:sz w:val="20"/>
          <w:szCs w:val="20"/>
        </w:rPr>
        <w:t xml:space="preserve"> 15 JSC </w:t>
      </w:r>
      <w:r w:rsidRPr="003B4DFA">
        <w:rPr>
          <w:rFonts w:ascii="Arial" w:eastAsia="Times New Roman" w:hAnsi="Arial" w:cs="Arial"/>
          <w:sz w:val="20"/>
          <w:szCs w:val="20"/>
        </w:rPr>
        <w:t xml:space="preserve">Mining </w:t>
      </w:r>
      <w:proofErr w:type="gramStart"/>
      <w:r w:rsidRPr="003B4DFA">
        <w:rPr>
          <w:rFonts w:ascii="Arial" w:eastAsia="Times New Roman" w:hAnsi="Arial" w:cs="Arial"/>
          <w:sz w:val="20"/>
          <w:szCs w:val="20"/>
        </w:rPr>
        <w:t>corporation</w:t>
      </w:r>
      <w:proofErr w:type="gramEnd"/>
      <w:r w:rsidRPr="003B4DFA">
        <w:rPr>
          <w:rFonts w:ascii="Arial" w:eastAsia="Times New Roman" w:hAnsi="Arial" w:cs="Arial"/>
          <w:sz w:val="20"/>
          <w:szCs w:val="20"/>
        </w:rPr>
        <w:t xml:space="preserve"> remedies the cause for being put under trading suspension.</w:t>
      </w:r>
    </w:p>
    <w:p w:rsidR="003B4DFA" w:rsidRDefault="003B4DFA" w:rsidP="003B4DFA">
      <w:pPr>
        <w:tabs>
          <w:tab w:val="left" w:pos="0"/>
        </w:tabs>
        <w:spacing w:after="0" w:line="360" w:lineRule="auto"/>
      </w:pPr>
    </w:p>
    <w:sectPr w:rsidR="003B4DFA" w:rsidSect="00F600A2">
      <w:pgSz w:w="11909" w:h="16834" w:code="9"/>
      <w:pgMar w:top="1008" w:right="1008" w:bottom="806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;;;Times New Roman&amp;quo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B4DFA"/>
    <w:rsid w:val="000C1C8D"/>
    <w:rsid w:val="00224C50"/>
    <w:rsid w:val="003B4DFA"/>
    <w:rsid w:val="0048527C"/>
    <w:rsid w:val="00525EB6"/>
    <w:rsid w:val="007826F7"/>
    <w:rsid w:val="00B17626"/>
    <w:rsid w:val="00BA0233"/>
    <w:rsid w:val="00D03C78"/>
    <w:rsid w:val="00F37900"/>
    <w:rsid w:val="00F6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C8D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C8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FE8637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C8D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FE863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1C8D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575F6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C8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C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C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FE8637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C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C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C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C8D"/>
    <w:rPr>
      <w:rFonts w:asciiTheme="majorHAnsi" w:eastAsiaTheme="majorEastAsia" w:hAnsiTheme="majorHAnsi" w:cstheme="majorBidi"/>
      <w:bCs/>
      <w:color w:val="FE8637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1C8D"/>
    <w:rPr>
      <w:rFonts w:eastAsiaTheme="majorEastAsia" w:cstheme="majorBidi"/>
      <w:b/>
      <w:bCs/>
      <w:color w:val="FE863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1C8D"/>
    <w:rPr>
      <w:rFonts w:asciiTheme="majorHAnsi" w:eastAsiaTheme="majorEastAsia" w:hAnsiTheme="majorHAnsi" w:cstheme="majorBidi"/>
      <w:bCs/>
      <w:color w:val="575F6D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C1C8D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C1C8D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sid w:val="000C1C8D"/>
    <w:rPr>
      <w:rFonts w:asciiTheme="majorHAnsi" w:eastAsiaTheme="majorEastAsia" w:hAnsiTheme="majorHAnsi" w:cstheme="majorBidi"/>
      <w:iCs/>
      <w:color w:val="FE8637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0C1C8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rsid w:val="000C1C8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C1C8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1C8D"/>
    <w:pPr>
      <w:spacing w:line="240" w:lineRule="auto"/>
    </w:pPr>
    <w:rPr>
      <w:rFonts w:asciiTheme="majorHAnsi" w:eastAsiaTheme="minorEastAsia" w:hAnsiTheme="majorHAnsi"/>
      <w:bCs/>
      <w:smallCaps/>
      <w:color w:val="575F6D" w:themeColor="text2"/>
      <w:spacing w:val="6"/>
      <w:sz w:val="22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0C1C8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575F6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1C8D"/>
    <w:rPr>
      <w:rFonts w:asciiTheme="majorHAnsi" w:eastAsiaTheme="majorEastAsia" w:hAnsiTheme="majorHAnsi" w:cstheme="majorBidi"/>
      <w:color w:val="575F6D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C8D"/>
    <w:pPr>
      <w:numPr>
        <w:ilvl w:val="1"/>
      </w:numPr>
    </w:pPr>
    <w:rPr>
      <w:rFonts w:eastAsiaTheme="majorEastAsia" w:cstheme="majorBidi"/>
      <w:iCs/>
      <w:color w:val="575F6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0C1C8D"/>
    <w:rPr>
      <w:rFonts w:eastAsiaTheme="majorEastAsia" w:cstheme="majorBidi"/>
      <w:iCs/>
      <w:color w:val="575F6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0C1C8D"/>
    <w:rPr>
      <w:b w:val="0"/>
      <w:bCs/>
      <w:i/>
      <w:color w:val="575F6D" w:themeColor="text2"/>
    </w:rPr>
  </w:style>
  <w:style w:type="character" w:styleId="Emphasis">
    <w:name w:val="Emphasis"/>
    <w:basedOn w:val="DefaultParagraphFont"/>
    <w:uiPriority w:val="20"/>
    <w:qFormat/>
    <w:rsid w:val="000C1C8D"/>
    <w:rPr>
      <w:b/>
      <w:i/>
      <w:iCs/>
    </w:rPr>
  </w:style>
  <w:style w:type="paragraph" w:styleId="NoSpacing">
    <w:name w:val="No Spacing"/>
    <w:link w:val="NoSpacingChar"/>
    <w:uiPriority w:val="1"/>
    <w:qFormat/>
    <w:rsid w:val="000C1C8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C1C8D"/>
  </w:style>
  <w:style w:type="paragraph" w:styleId="ListParagraph">
    <w:name w:val="List Paragraph"/>
    <w:basedOn w:val="Normal"/>
    <w:uiPriority w:val="34"/>
    <w:qFormat/>
    <w:rsid w:val="000C1C8D"/>
    <w:pPr>
      <w:spacing w:line="240" w:lineRule="auto"/>
      <w:ind w:left="720" w:hanging="288"/>
      <w:contextualSpacing/>
    </w:pPr>
    <w:rPr>
      <w:color w:val="575F6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0C1C8D"/>
    <w:pPr>
      <w:spacing w:after="0" w:line="360" w:lineRule="auto"/>
      <w:jc w:val="center"/>
    </w:pPr>
    <w:rPr>
      <w:rFonts w:eastAsiaTheme="minorEastAsia"/>
      <w:b/>
      <w:i/>
      <w:iCs/>
      <w:color w:val="FE8637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0C1C8D"/>
    <w:rPr>
      <w:rFonts w:eastAsiaTheme="minorEastAsia"/>
      <w:b/>
      <w:i/>
      <w:iCs/>
      <w:color w:val="FE8637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C8D"/>
    <w:pPr>
      <w:pBdr>
        <w:top w:val="single" w:sz="36" w:space="8" w:color="FE8637" w:themeColor="accent1"/>
        <w:left w:val="single" w:sz="36" w:space="8" w:color="FE8637" w:themeColor="accent1"/>
        <w:bottom w:val="single" w:sz="36" w:space="8" w:color="FE8637" w:themeColor="accent1"/>
        <w:right w:val="single" w:sz="36" w:space="8" w:color="FE8637" w:themeColor="accent1"/>
      </w:pBdr>
      <w:shd w:val="clear" w:color="auto" w:fill="FE8637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C8D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E8637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0C1C8D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0C1C8D"/>
    <w:rPr>
      <w:b/>
      <w:bCs/>
      <w:i/>
      <w:iCs/>
      <w:color w:val="FE8637" w:themeColor="accent1"/>
    </w:rPr>
  </w:style>
  <w:style w:type="character" w:styleId="SubtleReference">
    <w:name w:val="Subtle Reference"/>
    <w:basedOn w:val="DefaultParagraphFont"/>
    <w:uiPriority w:val="31"/>
    <w:qFormat/>
    <w:rsid w:val="000C1C8D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0C1C8D"/>
    <w:rPr>
      <w:b w:val="0"/>
      <w:bCs/>
      <w:smallCaps/>
      <w:color w:val="FE8637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C1C8D"/>
    <w:rPr>
      <w:b/>
      <w:bCs/>
      <w:caps/>
      <w:smallCaps w:val="0"/>
      <w:color w:val="575F6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1C8D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0C1C8D"/>
    <w:rPr>
      <w:b/>
      <w:cap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3B4D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4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Telecom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2015-05-07T08:39:00Z</dcterms:created>
  <dcterms:modified xsi:type="dcterms:W3CDTF">2015-05-07T09:01:00Z</dcterms:modified>
</cp:coreProperties>
</file>